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6FBB1DAF" w14:textId="3598B192" w:rsidR="001A2A0C" w:rsidRPr="002366DA" w:rsidRDefault="008D0EB4" w:rsidP="002366DA">
      <w:pPr>
        <w:pStyle w:val="Akapitzlist"/>
        <w:spacing w:before="120" w:line="276" w:lineRule="auto"/>
        <w:ind w:left="284"/>
        <w:jc w:val="center"/>
        <w:outlineLvl w:val="0"/>
        <w:rPr>
          <w:rFonts w:cstheme="minorHAnsi"/>
          <w:b/>
          <w:sz w:val="20"/>
          <w:szCs w:val="20"/>
        </w:rPr>
      </w:pPr>
      <w:r w:rsidRPr="002366DA">
        <w:rPr>
          <w:rFonts w:cstheme="minorHAnsi"/>
          <w:b/>
          <w:sz w:val="20"/>
          <w:szCs w:val="20"/>
        </w:rPr>
        <w:t>„</w:t>
      </w:r>
      <w:r w:rsidR="003905BF" w:rsidRPr="003905BF">
        <w:rPr>
          <w:rFonts w:cstheme="minorHAnsi"/>
          <w:b/>
          <w:sz w:val="20"/>
          <w:szCs w:val="20"/>
        </w:rPr>
        <w:t>Przyłączenie budynku mieszkalnego w miejscowości Bieniewiec dz. nr 127 gm. Żabia Wola</w:t>
      </w:r>
      <w:r w:rsidRPr="002366DA">
        <w:rPr>
          <w:rFonts w:cstheme="minorHAnsi"/>
          <w:b/>
          <w:sz w:val="20"/>
          <w:szCs w:val="20"/>
        </w:rPr>
        <w:t>”</w:t>
      </w:r>
    </w:p>
    <w:p w14:paraId="0B2FB81A" w14:textId="77777777" w:rsidR="00463679" w:rsidRDefault="00463679" w:rsidP="001A2A0C">
      <w:pPr>
        <w:pStyle w:val="Akapitzlist"/>
        <w:spacing w:before="120" w:line="276" w:lineRule="auto"/>
        <w:ind w:left="284"/>
        <w:jc w:val="both"/>
        <w:outlineLvl w:val="0"/>
        <w:rPr>
          <w:rFonts w:cstheme="minorHAnsi"/>
          <w:b/>
          <w:sz w:val="20"/>
          <w:szCs w:val="20"/>
        </w:rPr>
      </w:pP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8D0EB4">
        <w:rPr>
          <w:rFonts w:eastAsia="Times New Roman" w:cs="Calibri"/>
          <w:szCs w:val="18"/>
        </w:rPr>
        <w:t>(z uwzględnieniem ograniczeń technologii).</w:t>
      </w:r>
    </w:p>
    <w:p w14:paraId="24B60DBE" w14:textId="5919D707"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t>
      </w:r>
      <w:proofErr w:type="spellStart"/>
      <w:r w:rsidRPr="008D0EB4">
        <w:rPr>
          <w:rFonts w:eastAsia="Times New Roman" w:cs="Calibri"/>
          <w:szCs w:val="18"/>
        </w:rPr>
        <w:t>wyłączeń</w:t>
      </w:r>
      <w:proofErr w:type="spellEnd"/>
      <w:r w:rsidRPr="008D0EB4">
        <w:rPr>
          <w:rFonts w:eastAsia="Times New Roman" w:cs="Calibri"/>
          <w:szCs w:val="18"/>
        </w:rPr>
        <w:t xml:space="preserve"> odbiorców dla całej realizacji nie będzie trwał, łącznie w całym okresie wykonywania, dłużej niż: </w:t>
      </w:r>
      <w:r w:rsidR="00A030B9">
        <w:rPr>
          <w:rFonts w:eastAsia="Times New Roman" w:cs="Calibri"/>
          <w:b/>
          <w:szCs w:val="18"/>
        </w:rPr>
        <w:t>8</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2366DA">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75EE491E" w:rsidR="004906BC" w:rsidRPr="007757B5" w:rsidRDefault="00A030B9" w:rsidP="00DB2BFF">
      <w:pPr>
        <w:pStyle w:val="Akapitzlist"/>
        <w:spacing w:before="120" w:line="276" w:lineRule="auto"/>
        <w:ind w:left="284"/>
        <w:jc w:val="both"/>
        <w:outlineLvl w:val="0"/>
        <w:rPr>
          <w:rFonts w:cstheme="minorHAnsi"/>
          <w:szCs w:val="18"/>
        </w:rPr>
      </w:pPr>
      <w:r>
        <w:rPr>
          <w:rFonts w:cstheme="minorHAnsi"/>
          <w:b/>
          <w:szCs w:val="18"/>
        </w:rPr>
        <w:t>5</w:t>
      </w:r>
      <w:r w:rsidR="004644EA" w:rsidRPr="004644EA">
        <w:rPr>
          <w:rFonts w:cstheme="minorHAnsi"/>
          <w:b/>
          <w:szCs w:val="18"/>
        </w:rPr>
        <w:t xml:space="preserve"> mi</w:t>
      </w:r>
      <w:r w:rsidR="002366DA">
        <w:rPr>
          <w:rFonts w:cstheme="minorHAnsi"/>
          <w:b/>
          <w:szCs w:val="18"/>
        </w:rPr>
        <w:t>esięcy</w:t>
      </w:r>
      <w:r w:rsidR="004644EA">
        <w:rPr>
          <w:rFonts w:cstheme="minorHAnsi"/>
          <w:b/>
          <w:szCs w:val="18"/>
        </w:rPr>
        <w:t xml:space="preserve"> od dnia podpisania umowy </w:t>
      </w:r>
      <w:r w:rsidR="004644EA"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5F734510" w:rsidR="004906BC" w:rsidRPr="002366DA"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2366DA">
        <w:rPr>
          <w:rFonts w:cstheme="minorHAnsi"/>
          <w:b/>
          <w:szCs w:val="18"/>
        </w:rPr>
        <w:t>RE Żyrardów</w:t>
      </w:r>
      <w:r w:rsidR="005F23E1" w:rsidRPr="002366DA">
        <w:rPr>
          <w:rFonts w:cstheme="minorHAnsi"/>
          <w:b/>
          <w:szCs w:val="18"/>
        </w:rPr>
        <w:t xml:space="preserve">,  miejscowość </w:t>
      </w:r>
      <w:r w:rsidR="003905BF">
        <w:rPr>
          <w:rFonts w:cstheme="minorHAnsi"/>
          <w:b/>
          <w:szCs w:val="18"/>
        </w:rPr>
        <w:t>Bieniewiec</w:t>
      </w:r>
      <w:r w:rsidR="0045755E">
        <w:rPr>
          <w:rFonts w:cstheme="minorHAnsi"/>
          <w:b/>
          <w:szCs w:val="18"/>
        </w:rPr>
        <w:t xml:space="preserve">, gm. </w:t>
      </w:r>
      <w:r w:rsidR="00A030B9">
        <w:rPr>
          <w:rFonts w:cstheme="minorHAnsi"/>
          <w:b/>
          <w:szCs w:val="18"/>
        </w:rPr>
        <w:t>Ż</w:t>
      </w:r>
      <w:r w:rsidR="002977AD">
        <w:rPr>
          <w:rFonts w:cstheme="minorHAnsi"/>
          <w:b/>
          <w:szCs w:val="18"/>
        </w:rPr>
        <w:t>abia Wola</w:t>
      </w:r>
      <w:r w:rsidR="002366DA" w:rsidRPr="002366DA">
        <w:rPr>
          <w:rFonts w:cstheme="minorHAnsi"/>
          <w:b/>
          <w:szCs w:val="18"/>
        </w:rPr>
        <w:t>.</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9C9AB5" w14:textId="5E6457C8"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62A1F5E2" w14:textId="7777777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3B492599" w14:textId="74FACD6A"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t>Liczniki i modemy do układów bilansujących w stacjach SN/</w:t>
      </w:r>
      <w:proofErr w:type="spellStart"/>
      <w:r w:rsidRPr="00E818CE">
        <w:rPr>
          <w:rFonts w:cstheme="minorHAnsi"/>
          <w:b/>
          <w:szCs w:val="18"/>
        </w:rPr>
        <w:t>nN</w:t>
      </w:r>
      <w:proofErr w:type="spellEnd"/>
      <w:r w:rsidRPr="00E818CE">
        <w:rPr>
          <w:rFonts w:cstheme="minorHAnsi"/>
          <w:b/>
          <w:szCs w:val="18"/>
        </w:rPr>
        <w:t xml:space="preserve">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28BFE260"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366DA">
        <w:rPr>
          <w:rFonts w:cstheme="minorHAnsi"/>
          <w:b/>
          <w:szCs w:val="18"/>
        </w:rPr>
        <w:t xml:space="preserve">Dokumentacja    </w:t>
      </w:r>
      <w:r w:rsidR="002B5B5C" w:rsidRPr="002366DA">
        <w:rPr>
          <w:rFonts w:cstheme="minorHAnsi"/>
          <w:b/>
          <w:szCs w:val="18"/>
        </w:rPr>
        <w:t xml:space="preserve"> </w:t>
      </w:r>
      <w:r w:rsidR="002B5B5C" w:rsidRPr="002366DA">
        <w:rPr>
          <w:rFonts w:cstheme="minorHAnsi"/>
          <w:b/>
          <w:szCs w:val="18"/>
        </w:rPr>
        <w:br/>
      </w:r>
      <w:r w:rsidR="002366DA" w:rsidRPr="002366DA">
        <w:rPr>
          <w:rFonts w:cstheme="minorHAnsi"/>
          <w:b/>
          <w:szCs w:val="18"/>
        </w:rPr>
        <w:t xml:space="preserve">projektowa </w:t>
      </w:r>
      <w:r w:rsidRPr="002366DA">
        <w:rPr>
          <w:rFonts w:cstheme="minorHAnsi"/>
          <w:b/>
          <w:szCs w:val="18"/>
        </w:rPr>
        <w:t xml:space="preserve"> będzie realizowana w całości.</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w:t>
      </w:r>
      <w:proofErr w:type="spellStart"/>
      <w:r w:rsidRPr="002B5B5C">
        <w:rPr>
          <w:rFonts w:cstheme="minorHAnsi"/>
          <w:szCs w:val="18"/>
        </w:rPr>
        <w:t>nN</w:t>
      </w:r>
      <w:proofErr w:type="spellEnd"/>
      <w:r w:rsidRPr="002B5B5C">
        <w:rPr>
          <w:rFonts w:cstheme="minorHAnsi"/>
          <w:szCs w:val="18"/>
        </w:rPr>
        <w:t xml:space="preserve">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 xml:space="preserve">Stacje transformatorowe 15/0,4 </w:t>
      </w:r>
      <w:proofErr w:type="spellStart"/>
      <w:r w:rsidRPr="002B5B5C">
        <w:rPr>
          <w:rFonts w:cstheme="minorHAnsi"/>
          <w:b/>
          <w:szCs w:val="18"/>
        </w:rPr>
        <w:t>kV</w:t>
      </w:r>
      <w:proofErr w:type="spellEnd"/>
      <w:r w:rsidRPr="002B5B5C">
        <w:rPr>
          <w:rFonts w:cstheme="minorHAnsi"/>
          <w:b/>
          <w:szCs w:val="18"/>
        </w:rPr>
        <w:t xml:space="preserve"> wskazane przez Zamawiającego do zasilania jednostkami prądotwórczymi:</w:t>
      </w:r>
    </w:p>
    <w:p w14:paraId="7137027D" w14:textId="16D3AFAB" w:rsidR="00D8328D" w:rsidRPr="002366DA" w:rsidRDefault="002366DA" w:rsidP="002366DA">
      <w:pPr>
        <w:pStyle w:val="Akapitzlist"/>
        <w:numPr>
          <w:ilvl w:val="0"/>
          <w:numId w:val="9"/>
        </w:numPr>
        <w:spacing w:before="120" w:after="0" w:line="276" w:lineRule="auto"/>
        <w:jc w:val="both"/>
        <w:outlineLvl w:val="0"/>
        <w:rPr>
          <w:rFonts w:cstheme="minorHAnsi"/>
          <w:b/>
          <w:szCs w:val="18"/>
        </w:rPr>
      </w:pPr>
      <w:r>
        <w:rPr>
          <w:rFonts w:cstheme="minorHAnsi"/>
          <w:b/>
          <w:szCs w:val="18"/>
        </w:rPr>
        <w:t>brak</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wtórnych (o odpowiedniej kolorystyce i przekroju przewodów) od przekładników prądowych do listwy kontrolno-pomiarowej wraz z obwodami prądowymi i napięciowymi  oraz od listwy kontrolno-pomiarowej </w:t>
      </w:r>
      <w:r w:rsidRPr="002B5B5C">
        <w:rPr>
          <w:rFonts w:cstheme="minorHAnsi"/>
          <w:szCs w:val="18"/>
        </w:rPr>
        <w:lastRenderedPageBreak/>
        <w:t>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lastRenderedPageBreak/>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1AD95AE" w:rsidR="00347E8D" w:rsidRDefault="00347E8D">
        <w:pPr>
          <w:pStyle w:val="Stopka"/>
          <w:jc w:val="right"/>
        </w:pPr>
        <w:r>
          <w:fldChar w:fldCharType="begin"/>
        </w:r>
        <w:r>
          <w:instrText>PAGE   \* MERGEFORMAT</w:instrText>
        </w:r>
        <w:r>
          <w:fldChar w:fldCharType="separate"/>
        </w:r>
        <w:r w:rsidR="0045755E">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3C310F88"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CB68B2">
            <w:rPr>
              <w:rFonts w:asciiTheme="majorHAnsi" w:hAnsiTheme="majorHAnsi"/>
              <w:color w:val="000000" w:themeColor="text1"/>
              <w:sz w:val="14"/>
              <w:szCs w:val="18"/>
            </w:rPr>
            <w:t>00138</w:t>
          </w:r>
          <w:r w:rsidR="00C13454" w:rsidRPr="00C13454">
            <w:rPr>
              <w:rFonts w:asciiTheme="majorHAnsi" w:hAnsiTheme="majorHAnsi"/>
              <w:color w:val="000000" w:themeColor="text1"/>
              <w:sz w:val="14"/>
              <w:szCs w:val="18"/>
            </w:rPr>
            <w:t>/202</w:t>
          </w:r>
          <w:r w:rsidR="00CB68B2">
            <w:rPr>
              <w:rFonts w:asciiTheme="majorHAnsi" w:hAnsiTheme="majorHAnsi"/>
              <w:color w:val="000000" w:themeColor="text1"/>
              <w:sz w:val="14"/>
              <w:szCs w:val="18"/>
            </w:rPr>
            <w:t>6</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1491167728">
    <w:abstractNumId w:val="6"/>
  </w:num>
  <w:num w:numId="2" w16cid:durableId="101849955">
    <w:abstractNumId w:val="1"/>
  </w:num>
  <w:num w:numId="3" w16cid:durableId="22218747">
    <w:abstractNumId w:val="3"/>
  </w:num>
  <w:num w:numId="4" w16cid:durableId="964821247">
    <w:abstractNumId w:val="7"/>
  </w:num>
  <w:num w:numId="5" w16cid:durableId="1959330476">
    <w:abstractNumId w:val="0"/>
  </w:num>
  <w:num w:numId="6" w16cid:durableId="1482497714">
    <w:abstractNumId w:val="4"/>
  </w:num>
  <w:num w:numId="7" w16cid:durableId="1541282865">
    <w:abstractNumId w:val="9"/>
  </w:num>
  <w:num w:numId="8" w16cid:durableId="1448618883">
    <w:abstractNumId w:val="8"/>
  </w:num>
  <w:num w:numId="9" w16cid:durableId="1885554904">
    <w:abstractNumId w:val="11"/>
  </w:num>
  <w:num w:numId="10" w16cid:durableId="2081949202">
    <w:abstractNumId w:val="15"/>
  </w:num>
  <w:num w:numId="11" w16cid:durableId="1174568321">
    <w:abstractNumId w:val="5"/>
  </w:num>
  <w:num w:numId="12" w16cid:durableId="1500727258">
    <w:abstractNumId w:val="14"/>
  </w:num>
  <w:num w:numId="13" w16cid:durableId="1517302811">
    <w:abstractNumId w:val="10"/>
  </w:num>
  <w:num w:numId="14" w16cid:durableId="14039055">
    <w:abstractNumId w:val="13"/>
  </w:num>
  <w:num w:numId="15" w16cid:durableId="851728028">
    <w:abstractNumId w:val="12"/>
  </w:num>
  <w:num w:numId="16" w16cid:durableId="1058168210">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37AB"/>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57"/>
    <w:rsid w:val="002366DA"/>
    <w:rsid w:val="0024291C"/>
    <w:rsid w:val="00243739"/>
    <w:rsid w:val="00257F22"/>
    <w:rsid w:val="00264A06"/>
    <w:rsid w:val="00265B9D"/>
    <w:rsid w:val="00270752"/>
    <w:rsid w:val="002743D5"/>
    <w:rsid w:val="002768AC"/>
    <w:rsid w:val="002958A7"/>
    <w:rsid w:val="002977AD"/>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05BF"/>
    <w:rsid w:val="00395F60"/>
    <w:rsid w:val="003A2072"/>
    <w:rsid w:val="003A448C"/>
    <w:rsid w:val="003A4CC6"/>
    <w:rsid w:val="003A5D11"/>
    <w:rsid w:val="003A7C03"/>
    <w:rsid w:val="003B43F5"/>
    <w:rsid w:val="003B66FE"/>
    <w:rsid w:val="003C3E89"/>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5755E"/>
    <w:rsid w:val="004605F1"/>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A76CE"/>
    <w:rsid w:val="007B094C"/>
    <w:rsid w:val="007B0FF0"/>
    <w:rsid w:val="007B50D8"/>
    <w:rsid w:val="007C6687"/>
    <w:rsid w:val="007C67FA"/>
    <w:rsid w:val="007D0675"/>
    <w:rsid w:val="007D1209"/>
    <w:rsid w:val="007F7AF4"/>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069D"/>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30B9"/>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A6F"/>
    <w:rsid w:val="00CB68B2"/>
    <w:rsid w:val="00CD2022"/>
    <w:rsid w:val="00CD510A"/>
    <w:rsid w:val="00CE2F55"/>
    <w:rsid w:val="00D03C12"/>
    <w:rsid w:val="00D10930"/>
    <w:rsid w:val="00D1247E"/>
    <w:rsid w:val="00D21BCE"/>
    <w:rsid w:val="00D516C1"/>
    <w:rsid w:val="00D6344F"/>
    <w:rsid w:val="00D80E4A"/>
    <w:rsid w:val="00D8328D"/>
    <w:rsid w:val="00D9793B"/>
    <w:rsid w:val="00DA64DB"/>
    <w:rsid w:val="00DB1E5E"/>
    <w:rsid w:val="00DB2BFF"/>
    <w:rsid w:val="00DB3ADC"/>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25AF"/>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3147"/>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3.docx</dmsv2BaseFileName>
    <dmsv2BaseDisplayName xmlns="http://schemas.microsoft.com/sharepoint/v3">Załącznik nr 1 do SWZ - OPZ część 3</dmsv2BaseDisplayName>
    <dmsv2SWPP2ObjectNumber xmlns="http://schemas.microsoft.com/sharepoint/v3">POST/DYS/OLD/GZ/00138/2026                        </dmsv2SWPP2ObjectNumber>
    <dmsv2SWPP2SumMD5 xmlns="http://schemas.microsoft.com/sharepoint/v3">67feffbbb1f4765d1c2a254fcb785938</dmsv2SWPP2SumMD5>
    <dmsv2BaseMoved xmlns="http://schemas.microsoft.com/sharepoint/v3">false</dmsv2BaseMoved>
    <dmsv2BaseIsSensitive xmlns="http://schemas.microsoft.com/sharepoint/v3">true</dmsv2BaseIsSensitive>
    <dmsv2SWPP2IDSWPP2 xmlns="http://schemas.microsoft.com/sharepoint/v3">703829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24152060</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JEUP5JKVCYQC-1092029480-13998</_dlc_DocId>
    <_dlc_DocIdUrl xmlns="a19cb1c7-c5c7-46d4-85ae-d83685407bba">
      <Url>https://swpp2.dms.gkpge.pl/sites/41/_layouts/15/DocIdRedir.aspx?ID=JEUP5JKVCYQC-1092029480-13998</Url>
      <Description>JEUP5JKVCYQC-1092029480-13998</Description>
    </_dlc_DocIdUrl>
  </documentManagement>
</p:properties>
</file>

<file path=customXml/itemProps1.xml><?xml version="1.0" encoding="utf-8"?>
<ds:datastoreItem xmlns:ds="http://schemas.openxmlformats.org/officeDocument/2006/customXml" ds:itemID="{9BB1DB6D-7F37-40C9-96B8-B0B9230D5198}">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9330416B-F635-4892-9EA9-D785970D700E}">
  <ds:schemaRefs>
    <ds:schemaRef ds:uri="http://schemas.microsoft.com/sharepoint/events"/>
  </ds:schemaRefs>
</ds:datastoreItem>
</file>

<file path=customXml/itemProps4.xml><?xml version="1.0" encoding="utf-8"?>
<ds:datastoreItem xmlns:ds="http://schemas.openxmlformats.org/officeDocument/2006/customXml" ds:itemID="{E1A0D068-DE89-404F-8596-CEEDFADE61A6}"/>
</file>

<file path=customXml/itemProps5.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Template>
  <TotalTime>120</TotalTime>
  <Pages>5</Pages>
  <Words>2051</Words>
  <Characters>12308</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23</cp:revision>
  <cp:lastPrinted>2024-07-15T11:21:00Z</cp:lastPrinted>
  <dcterms:created xsi:type="dcterms:W3CDTF">2025-10-01T10:46:00Z</dcterms:created>
  <dcterms:modified xsi:type="dcterms:W3CDTF">2026-01-20T08:49:00Z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0e3accd2-cf0d-4e97-b02c-b23b7665aec9</vt:lpwstr>
  </property>
</Properties>
</file>